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EAF" w:rsidRPr="00AB6A0E" w:rsidRDefault="00034EAF" w:rsidP="00034EAF">
      <w:pPr>
        <w:ind w:right="1"/>
        <w:jc w:val="center"/>
        <w:rPr>
          <w:sz w:val="4"/>
          <w:szCs w:val="4"/>
        </w:rPr>
      </w:pPr>
      <w:r>
        <w:rPr>
          <w:noProof/>
          <w:sz w:val="4"/>
          <w:szCs w:val="4"/>
        </w:rPr>
        <w:drawing>
          <wp:inline distT="0" distB="0" distL="0" distR="0">
            <wp:extent cx="633730" cy="583565"/>
            <wp:effectExtent l="19050" t="0" r="0" b="0"/>
            <wp:docPr id="4" name="Рисунок 4" descr="герб_чб-умен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ерб_чб-уменш"/>
                    <pic:cNvPicPr>
                      <a:picLocks noChangeAspect="1" noChangeArrowheads="1"/>
                    </pic:cNvPicPr>
                  </pic:nvPicPr>
                  <pic:blipFill>
                    <a:blip r:embed="rId8" cstate="print"/>
                    <a:srcRect/>
                    <a:stretch>
                      <a:fillRect/>
                    </a:stretch>
                  </pic:blipFill>
                  <pic:spPr bwMode="auto">
                    <a:xfrm>
                      <a:off x="0" y="0"/>
                      <a:ext cx="633730" cy="583565"/>
                    </a:xfrm>
                    <a:prstGeom prst="rect">
                      <a:avLst/>
                    </a:prstGeom>
                    <a:noFill/>
                    <a:ln w="9525">
                      <a:noFill/>
                      <a:miter lim="800000"/>
                      <a:headEnd/>
                      <a:tailEnd/>
                    </a:ln>
                  </pic:spPr>
                </pic:pic>
              </a:graphicData>
            </a:graphic>
          </wp:inline>
        </w:drawing>
      </w:r>
    </w:p>
    <w:p w:rsidR="00034EAF" w:rsidRDefault="00034EAF" w:rsidP="00034EAF">
      <w:pPr>
        <w:jc w:val="center"/>
        <w:rPr>
          <w:b/>
          <w:sz w:val="24"/>
        </w:rPr>
      </w:pPr>
      <w:r>
        <w:rPr>
          <w:b/>
          <w:sz w:val="24"/>
        </w:rPr>
        <w:t>СОВЕТ ДЕПУТАТОВ</w:t>
      </w:r>
    </w:p>
    <w:p w:rsidR="00034EAF" w:rsidRDefault="00034EAF" w:rsidP="00034EAF">
      <w:pPr>
        <w:jc w:val="center"/>
        <w:rPr>
          <w:b/>
          <w:sz w:val="24"/>
        </w:rPr>
      </w:pPr>
      <w:r>
        <w:rPr>
          <w:b/>
          <w:sz w:val="24"/>
        </w:rPr>
        <w:t>ГОРОДА НОВОСИБИРСКА</w:t>
      </w:r>
    </w:p>
    <w:p w:rsidR="00034EAF" w:rsidRDefault="00034EAF" w:rsidP="00034EAF">
      <w:pPr>
        <w:pStyle w:val="a6"/>
        <w:rPr>
          <w:sz w:val="16"/>
        </w:rPr>
      </w:pPr>
      <w:r>
        <w:rPr>
          <w:sz w:val="16"/>
        </w:rPr>
        <w:t>ПОСТОЯННАЯ КОМИССИЯ  СОВЕТА ДЕПУТАТОВ ГОРОДА НОВОСИБИРСКА</w:t>
      </w:r>
    </w:p>
    <w:p w:rsidR="00034EAF" w:rsidRDefault="00034EAF" w:rsidP="00034EAF">
      <w:pPr>
        <w:pStyle w:val="a6"/>
        <w:rPr>
          <w:b w:val="0"/>
          <w:sz w:val="16"/>
          <w:szCs w:val="16"/>
        </w:rPr>
      </w:pPr>
      <w:r>
        <w:rPr>
          <w:sz w:val="16"/>
        </w:rPr>
        <w:t>ПО НАУЧНО-ПРОИЗВОДСТВЕННОМУ РАЗВИТИЮ И ПРЕДПРИНИМАТЕЛЬСТВУ</w:t>
      </w:r>
    </w:p>
    <w:p w:rsidR="00034EAF" w:rsidRDefault="00034EAF" w:rsidP="00034EAF">
      <w:pPr>
        <w:jc w:val="center"/>
        <w:rPr>
          <w:b/>
          <w:sz w:val="16"/>
        </w:rPr>
      </w:pPr>
    </w:p>
    <w:p w:rsidR="00034EAF" w:rsidRDefault="00034EAF" w:rsidP="00034EAF">
      <w:pPr>
        <w:ind w:right="1"/>
        <w:jc w:val="center"/>
        <w:rPr>
          <w:b/>
          <w:sz w:val="32"/>
        </w:rPr>
      </w:pPr>
      <w:r>
        <w:rPr>
          <w:b/>
          <w:sz w:val="32"/>
        </w:rPr>
        <w:t>РЕШЕНИЕ</w:t>
      </w:r>
    </w:p>
    <w:tbl>
      <w:tblPr>
        <w:tblW w:w="10008" w:type="dxa"/>
        <w:tblInd w:w="-38" w:type="dxa"/>
        <w:tblLayout w:type="fixed"/>
        <w:tblCellMar>
          <w:left w:w="70" w:type="dxa"/>
          <w:right w:w="70" w:type="dxa"/>
        </w:tblCellMar>
        <w:tblLook w:val="0000" w:firstRow="0" w:lastRow="0" w:firstColumn="0" w:lastColumn="0" w:noHBand="0" w:noVBand="0"/>
      </w:tblPr>
      <w:tblGrid>
        <w:gridCol w:w="3344"/>
        <w:gridCol w:w="3663"/>
        <w:gridCol w:w="3001"/>
      </w:tblGrid>
      <w:tr w:rsidR="00034EAF" w:rsidRPr="00121E86" w:rsidTr="0078722B">
        <w:tc>
          <w:tcPr>
            <w:tcW w:w="3331" w:type="dxa"/>
          </w:tcPr>
          <w:p w:rsidR="00034EAF" w:rsidRPr="00121E86" w:rsidRDefault="00034EAF" w:rsidP="001768A2">
            <w:pPr>
              <w:rPr>
                <w:sz w:val="28"/>
                <w:szCs w:val="28"/>
              </w:rPr>
            </w:pPr>
            <w:r>
              <w:rPr>
                <w:sz w:val="28"/>
                <w:szCs w:val="28"/>
              </w:rPr>
              <w:t xml:space="preserve">От </w:t>
            </w:r>
            <w:r w:rsidR="001768A2">
              <w:rPr>
                <w:sz w:val="28"/>
                <w:szCs w:val="28"/>
              </w:rPr>
              <w:t>02.02.2016</w:t>
            </w:r>
          </w:p>
        </w:tc>
        <w:tc>
          <w:tcPr>
            <w:tcW w:w="3649" w:type="dxa"/>
          </w:tcPr>
          <w:p w:rsidR="00034EAF" w:rsidRPr="00121E86" w:rsidRDefault="00034EAF" w:rsidP="0078722B">
            <w:pPr>
              <w:rPr>
                <w:b/>
                <w:sz w:val="28"/>
                <w:szCs w:val="28"/>
              </w:rPr>
            </w:pPr>
            <w:r>
              <w:rPr>
                <w:b/>
                <w:sz w:val="28"/>
                <w:szCs w:val="28"/>
              </w:rPr>
              <w:t xml:space="preserve">          </w:t>
            </w:r>
            <w:r w:rsidRPr="00121E86">
              <w:rPr>
                <w:b/>
                <w:sz w:val="28"/>
                <w:szCs w:val="28"/>
              </w:rPr>
              <w:t>г. Новосибирск</w:t>
            </w:r>
          </w:p>
        </w:tc>
        <w:tc>
          <w:tcPr>
            <w:tcW w:w="2990" w:type="dxa"/>
          </w:tcPr>
          <w:p w:rsidR="00034EAF" w:rsidRPr="00121E86" w:rsidRDefault="00CD49FF" w:rsidP="0078722B">
            <w:pPr>
              <w:jc w:val="right"/>
              <w:rPr>
                <w:sz w:val="28"/>
                <w:szCs w:val="28"/>
              </w:rPr>
            </w:pPr>
            <w:r>
              <w:rPr>
                <w:sz w:val="28"/>
                <w:szCs w:val="28"/>
              </w:rPr>
              <w:t>№ 36</w:t>
            </w:r>
          </w:p>
        </w:tc>
      </w:tr>
    </w:tbl>
    <w:p w:rsidR="00034EAF" w:rsidRDefault="00034EAF" w:rsidP="00034EAF">
      <w:pPr>
        <w:jc w:val="both"/>
        <w:rPr>
          <w:sz w:val="28"/>
          <w:szCs w:val="28"/>
        </w:rPr>
      </w:pPr>
    </w:p>
    <w:p w:rsidR="00034EAF" w:rsidRPr="001C76FF" w:rsidRDefault="00034EAF" w:rsidP="00034EAF">
      <w:pPr>
        <w:jc w:val="both"/>
        <w:rPr>
          <w:sz w:val="28"/>
          <w:szCs w:val="28"/>
        </w:rPr>
      </w:pPr>
    </w:p>
    <w:tbl>
      <w:tblPr>
        <w:tblW w:w="0" w:type="auto"/>
        <w:tblLayout w:type="fixed"/>
        <w:tblLook w:val="04A0" w:firstRow="1" w:lastRow="0" w:firstColumn="1" w:lastColumn="0" w:noHBand="0" w:noVBand="1"/>
      </w:tblPr>
      <w:tblGrid>
        <w:gridCol w:w="5495"/>
      </w:tblGrid>
      <w:tr w:rsidR="00EA02DC" w:rsidTr="00EA02DC">
        <w:tc>
          <w:tcPr>
            <w:tcW w:w="5495" w:type="dxa"/>
            <w:hideMark/>
          </w:tcPr>
          <w:p w:rsidR="00EA02DC" w:rsidRDefault="00EA02DC">
            <w:pPr>
              <w:pStyle w:val="3"/>
              <w:suppressAutoHyphens/>
              <w:ind w:firstLine="0"/>
              <w:jc w:val="both"/>
              <w:rPr>
                <w:szCs w:val="28"/>
              </w:rPr>
            </w:pPr>
            <w:r>
              <w:rPr>
                <w:szCs w:val="28"/>
              </w:rPr>
              <w:t>Об отчете рабочей группы по рассмотрению вопросов о размещении нестационарных объектов на территории города Новосибирска</w:t>
            </w:r>
          </w:p>
        </w:tc>
      </w:tr>
    </w:tbl>
    <w:p w:rsidR="00EA02DC" w:rsidRDefault="00EA02DC" w:rsidP="00EA02DC">
      <w:pPr>
        <w:pStyle w:val="3"/>
        <w:ind w:firstLine="708"/>
        <w:jc w:val="both"/>
      </w:pPr>
    </w:p>
    <w:p w:rsidR="00EA02DC" w:rsidRDefault="00EA02DC" w:rsidP="00EA02DC">
      <w:pPr>
        <w:pStyle w:val="3"/>
        <w:ind w:firstLine="708"/>
        <w:jc w:val="both"/>
      </w:pPr>
    </w:p>
    <w:p w:rsidR="00EA02DC" w:rsidRDefault="00EA02DC" w:rsidP="00EA02DC">
      <w:pPr>
        <w:pStyle w:val="a8"/>
        <w:ind w:firstLine="720"/>
        <w:jc w:val="both"/>
        <w:rPr>
          <w:sz w:val="28"/>
        </w:rPr>
      </w:pPr>
      <w:r>
        <w:rPr>
          <w:sz w:val="28"/>
        </w:rPr>
        <w:t>Рассмотрев отчет рабочей группы по рассмотрению вопросов о размещении нестационарных объектов на территории города Новосибирска (далее – рабочая группа), комиссия РЕШИЛА:</w:t>
      </w:r>
    </w:p>
    <w:p w:rsidR="00EA02DC" w:rsidRDefault="00EA02DC" w:rsidP="00EA02DC">
      <w:pPr>
        <w:pStyle w:val="a8"/>
        <w:ind w:firstLine="720"/>
        <w:jc w:val="both"/>
        <w:rPr>
          <w:sz w:val="28"/>
        </w:rPr>
      </w:pPr>
      <w:r>
        <w:rPr>
          <w:sz w:val="28"/>
        </w:rPr>
        <w:t>1. Согласиться с представленным отчетом рабочей группы (приложение).</w:t>
      </w:r>
    </w:p>
    <w:p w:rsidR="00EA02DC" w:rsidRDefault="00EA02DC" w:rsidP="00EA02DC">
      <w:pPr>
        <w:pStyle w:val="a8"/>
        <w:ind w:firstLine="720"/>
        <w:jc w:val="both"/>
        <w:rPr>
          <w:sz w:val="28"/>
        </w:rPr>
      </w:pPr>
      <w:r>
        <w:rPr>
          <w:sz w:val="28"/>
        </w:rPr>
        <w:t>2. Прекратить работу рабочей группы в связи с выполнением возложенных на нее задач.</w:t>
      </w:r>
    </w:p>
    <w:p w:rsidR="00EA02DC" w:rsidRDefault="00EA02DC" w:rsidP="00EA02DC">
      <w:pPr>
        <w:tabs>
          <w:tab w:val="left" w:pos="7655"/>
        </w:tabs>
        <w:rPr>
          <w:sz w:val="28"/>
          <w:szCs w:val="28"/>
        </w:rPr>
      </w:pPr>
    </w:p>
    <w:p w:rsidR="00EA02DC" w:rsidRDefault="00EA02DC" w:rsidP="00EA02DC">
      <w:pPr>
        <w:tabs>
          <w:tab w:val="left" w:pos="7655"/>
        </w:tabs>
        <w:rPr>
          <w:sz w:val="28"/>
          <w:szCs w:val="28"/>
        </w:rPr>
      </w:pPr>
    </w:p>
    <w:p w:rsidR="00EA02DC" w:rsidRPr="00EA02DC" w:rsidRDefault="00EA02DC" w:rsidP="00EA02DC">
      <w:pPr>
        <w:tabs>
          <w:tab w:val="left" w:pos="7655"/>
        </w:tabs>
        <w:rPr>
          <w:sz w:val="28"/>
          <w:szCs w:val="28"/>
        </w:rPr>
      </w:pPr>
      <w:r w:rsidRPr="00EA02DC">
        <w:rPr>
          <w:sz w:val="28"/>
          <w:szCs w:val="28"/>
        </w:rPr>
        <w:t xml:space="preserve">Председатель комиссии  </w:t>
      </w:r>
      <w:r w:rsidRPr="00EA02DC">
        <w:rPr>
          <w:sz w:val="28"/>
          <w:szCs w:val="28"/>
        </w:rPr>
        <w:tab/>
        <w:t xml:space="preserve">            И. Д. Салов</w:t>
      </w:r>
    </w:p>
    <w:p w:rsidR="00EA02DC" w:rsidRDefault="00EA02DC" w:rsidP="00EA02DC">
      <w:pPr>
        <w:pStyle w:val="a8"/>
        <w:ind w:left="0" w:firstLine="720"/>
        <w:jc w:val="both"/>
      </w:pPr>
    </w:p>
    <w:p w:rsidR="00EA02DC" w:rsidRDefault="00EA02DC" w:rsidP="00EA02DC">
      <w:pPr>
        <w:pStyle w:val="a8"/>
        <w:ind w:left="0" w:firstLine="720"/>
        <w:jc w:val="both"/>
      </w:pPr>
    </w:p>
    <w:p w:rsidR="004D6A4C" w:rsidRDefault="004D6A4C">
      <w:r>
        <w:br w:type="page"/>
      </w:r>
    </w:p>
    <w:p w:rsidR="004D6A4C" w:rsidRPr="004D6A4C" w:rsidRDefault="004D6A4C" w:rsidP="004D6A4C">
      <w:pPr>
        <w:jc w:val="right"/>
        <w:rPr>
          <w:sz w:val="28"/>
          <w:szCs w:val="28"/>
        </w:rPr>
      </w:pPr>
      <w:r w:rsidRPr="004D6A4C">
        <w:rPr>
          <w:sz w:val="28"/>
          <w:szCs w:val="28"/>
        </w:rPr>
        <w:lastRenderedPageBreak/>
        <w:t xml:space="preserve">Приложение </w:t>
      </w:r>
      <w:bookmarkStart w:id="0" w:name="_GoBack"/>
      <w:bookmarkEnd w:id="0"/>
    </w:p>
    <w:p w:rsidR="004D6A4C" w:rsidRPr="004D6A4C" w:rsidRDefault="004D6A4C" w:rsidP="004D6A4C">
      <w:pPr>
        <w:jc w:val="right"/>
        <w:rPr>
          <w:sz w:val="28"/>
          <w:szCs w:val="28"/>
        </w:rPr>
      </w:pPr>
      <w:r w:rsidRPr="004D6A4C">
        <w:rPr>
          <w:sz w:val="28"/>
          <w:szCs w:val="28"/>
        </w:rPr>
        <w:t xml:space="preserve">к решению комиссии </w:t>
      </w:r>
    </w:p>
    <w:p w:rsidR="004D6A4C" w:rsidRPr="004D6A4C" w:rsidRDefault="004D6A4C" w:rsidP="004D6A4C">
      <w:pPr>
        <w:jc w:val="right"/>
        <w:rPr>
          <w:sz w:val="28"/>
          <w:szCs w:val="28"/>
        </w:rPr>
      </w:pPr>
      <w:r w:rsidRPr="004D6A4C">
        <w:rPr>
          <w:sz w:val="28"/>
          <w:szCs w:val="28"/>
        </w:rPr>
        <w:t xml:space="preserve"> от ___ №___ </w:t>
      </w:r>
    </w:p>
    <w:p w:rsidR="004D6A4C" w:rsidRPr="004D6A4C" w:rsidRDefault="004D6A4C" w:rsidP="004D6A4C">
      <w:pPr>
        <w:jc w:val="right"/>
        <w:rPr>
          <w:b/>
          <w:sz w:val="28"/>
          <w:szCs w:val="28"/>
        </w:rPr>
      </w:pPr>
    </w:p>
    <w:p w:rsidR="004D6A4C" w:rsidRPr="004D6A4C" w:rsidRDefault="004D6A4C" w:rsidP="004D6A4C">
      <w:pPr>
        <w:jc w:val="right"/>
        <w:rPr>
          <w:b/>
          <w:sz w:val="28"/>
          <w:szCs w:val="28"/>
        </w:rPr>
      </w:pPr>
      <w:r w:rsidRPr="004D6A4C">
        <w:rPr>
          <w:b/>
          <w:sz w:val="28"/>
          <w:szCs w:val="28"/>
        </w:rPr>
        <w:t xml:space="preserve"> </w:t>
      </w:r>
    </w:p>
    <w:p w:rsidR="004D6A4C" w:rsidRPr="004D6A4C" w:rsidRDefault="004D6A4C" w:rsidP="004D6A4C">
      <w:pPr>
        <w:jc w:val="center"/>
        <w:rPr>
          <w:b/>
          <w:sz w:val="28"/>
          <w:szCs w:val="28"/>
        </w:rPr>
      </w:pPr>
      <w:r w:rsidRPr="004D6A4C">
        <w:rPr>
          <w:b/>
          <w:sz w:val="28"/>
          <w:szCs w:val="28"/>
        </w:rPr>
        <w:t xml:space="preserve">Отчет рабочей группы </w:t>
      </w:r>
    </w:p>
    <w:p w:rsidR="004D6A4C" w:rsidRPr="004D6A4C" w:rsidRDefault="004D6A4C" w:rsidP="004D6A4C">
      <w:pPr>
        <w:jc w:val="center"/>
        <w:rPr>
          <w:b/>
          <w:sz w:val="28"/>
          <w:szCs w:val="28"/>
        </w:rPr>
      </w:pPr>
      <w:r w:rsidRPr="004D6A4C">
        <w:rPr>
          <w:b/>
          <w:sz w:val="28"/>
          <w:szCs w:val="28"/>
        </w:rPr>
        <w:t>по рассмотрению вопросов о размещении нестационарных объектов</w:t>
      </w:r>
    </w:p>
    <w:p w:rsidR="004D6A4C" w:rsidRPr="004D6A4C" w:rsidRDefault="004D6A4C" w:rsidP="004D6A4C">
      <w:pPr>
        <w:jc w:val="center"/>
        <w:rPr>
          <w:b/>
          <w:sz w:val="28"/>
          <w:szCs w:val="28"/>
        </w:rPr>
      </w:pPr>
      <w:r w:rsidRPr="004D6A4C">
        <w:rPr>
          <w:b/>
          <w:sz w:val="28"/>
          <w:szCs w:val="28"/>
        </w:rPr>
        <w:t>на территории города Новосибирска</w:t>
      </w:r>
    </w:p>
    <w:p w:rsidR="004D6A4C" w:rsidRPr="004D6A4C" w:rsidRDefault="004D6A4C" w:rsidP="004D6A4C">
      <w:pPr>
        <w:jc w:val="center"/>
      </w:pPr>
    </w:p>
    <w:p w:rsidR="004D6A4C" w:rsidRPr="004D6A4C" w:rsidRDefault="004D6A4C" w:rsidP="004D6A4C">
      <w:pPr>
        <w:spacing w:line="276" w:lineRule="auto"/>
        <w:ind w:firstLine="720"/>
        <w:jc w:val="both"/>
        <w:rPr>
          <w:sz w:val="28"/>
          <w:szCs w:val="28"/>
        </w:rPr>
      </w:pPr>
    </w:p>
    <w:p w:rsidR="004D6A4C" w:rsidRPr="004D6A4C" w:rsidRDefault="004D6A4C" w:rsidP="004D6A4C">
      <w:pPr>
        <w:ind w:firstLine="720"/>
        <w:jc w:val="both"/>
        <w:rPr>
          <w:sz w:val="28"/>
          <w:szCs w:val="28"/>
        </w:rPr>
      </w:pPr>
      <w:r w:rsidRPr="004D6A4C">
        <w:rPr>
          <w:sz w:val="28"/>
          <w:szCs w:val="28"/>
        </w:rPr>
        <w:t xml:space="preserve">Решением постоянной </w:t>
      </w:r>
      <w:proofErr w:type="gramStart"/>
      <w:r w:rsidRPr="004D6A4C">
        <w:rPr>
          <w:sz w:val="28"/>
          <w:szCs w:val="28"/>
        </w:rPr>
        <w:t>комиссии Совета депутатов города Новосибирска</w:t>
      </w:r>
      <w:proofErr w:type="gramEnd"/>
      <w:r w:rsidRPr="004D6A4C">
        <w:rPr>
          <w:sz w:val="28"/>
          <w:szCs w:val="28"/>
        </w:rPr>
        <w:t xml:space="preserve"> по научно-производственному развитию и предпринимательству от 22.10.2015 № 15 создана рабочая группа по рассмотрению вопросов о размещении нестационарных объектов на территории города Новосибирска (далее - рабочая группа).</w:t>
      </w:r>
    </w:p>
    <w:p w:rsidR="004D6A4C" w:rsidRPr="004D6A4C" w:rsidRDefault="004D6A4C" w:rsidP="004D6A4C">
      <w:pPr>
        <w:ind w:firstLine="720"/>
        <w:jc w:val="both"/>
        <w:rPr>
          <w:sz w:val="28"/>
          <w:szCs w:val="28"/>
        </w:rPr>
      </w:pPr>
      <w:r w:rsidRPr="004D6A4C">
        <w:rPr>
          <w:sz w:val="28"/>
          <w:szCs w:val="28"/>
        </w:rPr>
        <w:t>Проведено 3 заседания рабочей группы.</w:t>
      </w:r>
    </w:p>
    <w:p w:rsidR="004D6A4C" w:rsidRPr="004D6A4C" w:rsidRDefault="004D6A4C" w:rsidP="004D6A4C">
      <w:pPr>
        <w:ind w:firstLine="720"/>
        <w:jc w:val="both"/>
        <w:rPr>
          <w:sz w:val="28"/>
          <w:szCs w:val="28"/>
        </w:rPr>
      </w:pPr>
      <w:r w:rsidRPr="004D6A4C">
        <w:rPr>
          <w:sz w:val="28"/>
          <w:szCs w:val="28"/>
        </w:rPr>
        <w:t>В ходе заседаний рабочей группы изучались следующие вопросы:</w:t>
      </w:r>
    </w:p>
    <w:p w:rsidR="004D6A4C" w:rsidRPr="004D6A4C" w:rsidRDefault="004D6A4C" w:rsidP="004D6A4C">
      <w:pPr>
        <w:ind w:firstLine="720"/>
        <w:jc w:val="both"/>
        <w:rPr>
          <w:sz w:val="28"/>
          <w:szCs w:val="28"/>
        </w:rPr>
      </w:pPr>
      <w:r w:rsidRPr="004D6A4C">
        <w:rPr>
          <w:sz w:val="28"/>
          <w:szCs w:val="28"/>
        </w:rPr>
        <w:t>1. Возможность внесения изменений в Федеральный закон от 28.12.2009</w:t>
      </w:r>
      <w:r w:rsidRPr="004D6A4C">
        <w:rPr>
          <w:sz w:val="28"/>
          <w:szCs w:val="28"/>
        </w:rPr>
        <w:br/>
        <w:t>№ 381-ФЗ «Об основах государственного регулирования торговой деятельности в Российской Федерации» (далее – Закон о торговой деятельности).</w:t>
      </w:r>
    </w:p>
    <w:p w:rsidR="004D6A4C" w:rsidRPr="004D6A4C" w:rsidRDefault="004D6A4C" w:rsidP="004D6A4C">
      <w:pPr>
        <w:ind w:firstLine="720"/>
        <w:jc w:val="both"/>
        <w:rPr>
          <w:sz w:val="28"/>
          <w:szCs w:val="28"/>
        </w:rPr>
      </w:pPr>
      <w:r w:rsidRPr="004D6A4C">
        <w:rPr>
          <w:sz w:val="28"/>
          <w:szCs w:val="28"/>
        </w:rPr>
        <w:t xml:space="preserve">В Совет депутатов города Новосибирска поступают многочисленные обращения от предпринимателей о размещении нестационарных торговых объектов, мобильных объектов, закрепления общих принципов оформления договорных отношений, в том числе защищающих добросовестных предпринимателей, позволяющих им планировать ведение бизнеса, заключение договоров на новый срок без проведения торгов в отношении хозяйствующих субъектов, надлежащим </w:t>
      </w:r>
      <w:proofErr w:type="gramStart"/>
      <w:r w:rsidRPr="004D6A4C">
        <w:rPr>
          <w:sz w:val="28"/>
          <w:szCs w:val="28"/>
        </w:rPr>
        <w:t>образом</w:t>
      </w:r>
      <w:proofErr w:type="gramEnd"/>
      <w:r w:rsidRPr="004D6A4C">
        <w:rPr>
          <w:sz w:val="28"/>
          <w:szCs w:val="28"/>
        </w:rPr>
        <w:t xml:space="preserve"> исполнившим свои обязанности по ранее заключенному договору, уточнения терминологии и другим вопросам. </w:t>
      </w:r>
      <w:r w:rsidRPr="004D6A4C">
        <w:rPr>
          <w:sz w:val="28"/>
        </w:rPr>
        <w:t xml:space="preserve"> </w:t>
      </w:r>
    </w:p>
    <w:p w:rsidR="004D6A4C" w:rsidRPr="004D6A4C" w:rsidRDefault="004D6A4C" w:rsidP="004D6A4C">
      <w:pPr>
        <w:ind w:firstLine="720"/>
        <w:jc w:val="both"/>
        <w:rPr>
          <w:sz w:val="28"/>
          <w:szCs w:val="28"/>
        </w:rPr>
      </w:pPr>
      <w:r w:rsidRPr="004D6A4C">
        <w:rPr>
          <w:sz w:val="28"/>
          <w:szCs w:val="28"/>
        </w:rPr>
        <w:t xml:space="preserve">Однако в Законе о торговой деятельности отсутствует правовая регламентация порядка и условий заключения договоров на размещение и эксплуатацию нестационарных объектов. </w:t>
      </w:r>
    </w:p>
    <w:p w:rsidR="004D6A4C" w:rsidRPr="004D6A4C" w:rsidRDefault="004D6A4C" w:rsidP="004D6A4C">
      <w:pPr>
        <w:ind w:firstLine="720"/>
        <w:jc w:val="both"/>
        <w:rPr>
          <w:sz w:val="28"/>
          <w:szCs w:val="28"/>
        </w:rPr>
      </w:pPr>
      <w:proofErr w:type="gramStart"/>
      <w:r w:rsidRPr="004D6A4C">
        <w:rPr>
          <w:sz w:val="28"/>
          <w:szCs w:val="28"/>
        </w:rPr>
        <w:t>Учитывая, что малые и средние торговые предприятия выполняют важную экономическую и социальную функцию, являются каналом сбыта продукции мелких и средних производителей товаров, прежде всего продуктов питания от сельскохозяйственных производителей, а также в целях обеспечения возможности стабильного функционирования и развития нестационарной торговли, рабочая группа считает целесообразным обратиться Совету депутатов города Новосибирска к Правительству Российской Федерации по вопросу совершенствования организации нестационарной торговли.</w:t>
      </w:r>
      <w:proofErr w:type="gramEnd"/>
    </w:p>
    <w:p w:rsidR="004D6A4C" w:rsidRPr="004D6A4C" w:rsidRDefault="004D6A4C" w:rsidP="004D6A4C">
      <w:pPr>
        <w:ind w:firstLine="720"/>
        <w:jc w:val="both"/>
        <w:rPr>
          <w:sz w:val="28"/>
          <w:szCs w:val="28"/>
        </w:rPr>
      </w:pPr>
      <w:proofErr w:type="gramStart"/>
      <w:r w:rsidRPr="004D6A4C">
        <w:rPr>
          <w:sz w:val="28"/>
          <w:szCs w:val="28"/>
        </w:rPr>
        <w:t>Кроме того, рабочей группой разработан проект обращения Совета депутатов города Новосибирска к Правительству Российской Федерации о внесении в Государственную Думу Федерального Собрания Российской Федерации законопроекта, закрепляющего положения о заключении договоров на размещение и эксплуатацию нестационарного торгового объекта, основания для заключения данного договора на новый срок без проведения торгов, установление прозрачных правил к формированию и изменению схемы размещения нестационарных торговых объектов</w:t>
      </w:r>
      <w:proofErr w:type="gramEnd"/>
      <w:r w:rsidRPr="004D6A4C">
        <w:rPr>
          <w:sz w:val="28"/>
          <w:szCs w:val="28"/>
        </w:rPr>
        <w:t xml:space="preserve">, уточнения терминологии (например, ввести понятия «мобильный торговый объект» и «холодильная витрина»). </w:t>
      </w:r>
    </w:p>
    <w:p w:rsidR="004D6A4C" w:rsidRPr="004D6A4C" w:rsidRDefault="004D6A4C" w:rsidP="004D6A4C">
      <w:pPr>
        <w:ind w:firstLine="720"/>
        <w:jc w:val="both"/>
        <w:rPr>
          <w:sz w:val="28"/>
          <w:szCs w:val="28"/>
        </w:rPr>
      </w:pPr>
      <w:r w:rsidRPr="004D6A4C">
        <w:rPr>
          <w:sz w:val="28"/>
          <w:szCs w:val="28"/>
        </w:rPr>
        <w:lastRenderedPageBreak/>
        <w:t xml:space="preserve">Рабочей группой рекомендовано постоянной комиссии Совета депутатов города Новосибирска по научно-производственному развитию и предпринимательству (далее – комиссия) разработать соответствующий проект </w:t>
      </w:r>
      <w:proofErr w:type="gramStart"/>
      <w:r w:rsidRPr="004D6A4C">
        <w:rPr>
          <w:sz w:val="28"/>
          <w:szCs w:val="28"/>
        </w:rPr>
        <w:t>решения Совета депутатов города Новосибирска</w:t>
      </w:r>
      <w:proofErr w:type="gramEnd"/>
      <w:r w:rsidRPr="004D6A4C">
        <w:rPr>
          <w:sz w:val="28"/>
          <w:szCs w:val="28"/>
        </w:rPr>
        <w:t xml:space="preserve"> и рассмотреть его. </w:t>
      </w:r>
    </w:p>
    <w:p w:rsidR="004D6A4C" w:rsidRPr="004D6A4C" w:rsidRDefault="004D6A4C" w:rsidP="004D6A4C">
      <w:pPr>
        <w:ind w:firstLine="720"/>
        <w:jc w:val="both"/>
        <w:rPr>
          <w:sz w:val="28"/>
          <w:szCs w:val="28"/>
        </w:rPr>
      </w:pPr>
      <w:r w:rsidRPr="004D6A4C">
        <w:rPr>
          <w:sz w:val="28"/>
          <w:szCs w:val="28"/>
        </w:rPr>
        <w:t>2. Возможность внесения изменений в Положение о нестационарных объектах на территории города Новосибирска, утвержденное решением Совета депутатов города Новосибирска от 29.04.2015 № 1336 (далее – Положение).</w:t>
      </w:r>
    </w:p>
    <w:p w:rsidR="004D6A4C" w:rsidRPr="004D6A4C" w:rsidRDefault="004D6A4C" w:rsidP="004D6A4C">
      <w:pPr>
        <w:ind w:firstLine="720"/>
        <w:jc w:val="both"/>
        <w:rPr>
          <w:sz w:val="28"/>
          <w:szCs w:val="28"/>
        </w:rPr>
      </w:pPr>
      <w:r w:rsidRPr="004D6A4C">
        <w:rPr>
          <w:sz w:val="28"/>
          <w:szCs w:val="28"/>
        </w:rPr>
        <w:t>В ходе обсуждения на заседаниях рабочей группы установлено, что на территории города Новосибирска имеются факты незаконного размещения нестационарных объектов, в связи с чем, рабочей группой рекомендовано:</w:t>
      </w:r>
    </w:p>
    <w:p w:rsidR="004D6A4C" w:rsidRPr="004D6A4C" w:rsidRDefault="004D6A4C" w:rsidP="004D6A4C">
      <w:pPr>
        <w:ind w:firstLine="720"/>
        <w:jc w:val="both"/>
        <w:rPr>
          <w:sz w:val="28"/>
          <w:szCs w:val="28"/>
        </w:rPr>
      </w:pPr>
      <w:proofErr w:type="gramStart"/>
      <w:r w:rsidRPr="004D6A4C">
        <w:rPr>
          <w:sz w:val="28"/>
          <w:szCs w:val="28"/>
        </w:rPr>
        <w:t xml:space="preserve">комиссии ежемесячно заслушивать информацию департамента земельных и имущественных отношений мэрии города Новосибирска (далее – департамент) о размещении нестационарных объектов на территории города Новосибирска, а также о контроле за размещением данных объектов;     </w:t>
      </w:r>
      <w:proofErr w:type="gramEnd"/>
    </w:p>
    <w:p w:rsidR="004D6A4C" w:rsidRPr="004D6A4C" w:rsidRDefault="004D6A4C" w:rsidP="004D6A4C">
      <w:pPr>
        <w:ind w:firstLine="720"/>
        <w:jc w:val="both"/>
        <w:rPr>
          <w:sz w:val="28"/>
          <w:szCs w:val="28"/>
        </w:rPr>
      </w:pPr>
      <w:r w:rsidRPr="004D6A4C">
        <w:rPr>
          <w:sz w:val="28"/>
          <w:szCs w:val="28"/>
        </w:rPr>
        <w:t>департаменту рассмотреть вопрос о создании перечня незаконно размещенных нестационарных объектов на территории города Новосибирска с последующим опубликованием на сайте города Новосибирска.</w:t>
      </w:r>
    </w:p>
    <w:p w:rsidR="004D6A4C" w:rsidRPr="004D6A4C" w:rsidRDefault="004D6A4C" w:rsidP="004D6A4C">
      <w:pPr>
        <w:widowControl w:val="0"/>
        <w:autoSpaceDE w:val="0"/>
        <w:autoSpaceDN w:val="0"/>
        <w:ind w:firstLine="720"/>
        <w:jc w:val="both"/>
        <w:rPr>
          <w:sz w:val="28"/>
          <w:szCs w:val="28"/>
        </w:rPr>
      </w:pPr>
      <w:proofErr w:type="gramStart"/>
      <w:r w:rsidRPr="004D6A4C">
        <w:rPr>
          <w:sz w:val="28"/>
          <w:szCs w:val="28"/>
        </w:rPr>
        <w:t>Кроме того, в целях совершенствования порядка освобождения земельных участков от незаконно расположенных на них объектов, не являющихся объектами капитального строительства, рабочей группой рекомендовано провести совещание по совершенствованию процедуры демонтажа нестационарных объектов на территории города Новосибирска с участием представителей мэрии города Новосибирска, Управления МВД России по городу Новосибирску, прокуратуры города Новосибирска, Управления Федеральной антимонопольной службы по Новосибирской области, Управления Федеральной миграционной</w:t>
      </w:r>
      <w:proofErr w:type="gramEnd"/>
      <w:r w:rsidRPr="004D6A4C">
        <w:rPr>
          <w:sz w:val="28"/>
          <w:szCs w:val="28"/>
        </w:rPr>
        <w:t xml:space="preserve"> службы России по Новосибирской области. </w:t>
      </w:r>
    </w:p>
    <w:p w:rsidR="004D6A4C" w:rsidRPr="004D6A4C" w:rsidRDefault="004D6A4C" w:rsidP="004D6A4C">
      <w:pPr>
        <w:ind w:firstLine="720"/>
        <w:jc w:val="both"/>
        <w:rPr>
          <w:sz w:val="28"/>
          <w:szCs w:val="28"/>
        </w:rPr>
      </w:pPr>
      <w:r w:rsidRPr="004D6A4C">
        <w:rPr>
          <w:sz w:val="28"/>
          <w:szCs w:val="28"/>
        </w:rPr>
        <w:t xml:space="preserve">Проведение совещания по вопросу совершенствования процедуры демонтажа, эвакуации и </w:t>
      </w:r>
      <w:proofErr w:type="gramStart"/>
      <w:r w:rsidRPr="004D6A4C">
        <w:rPr>
          <w:sz w:val="28"/>
          <w:szCs w:val="28"/>
        </w:rPr>
        <w:t>хранения</w:t>
      </w:r>
      <w:proofErr w:type="gramEnd"/>
      <w:r w:rsidRPr="004D6A4C">
        <w:rPr>
          <w:sz w:val="28"/>
          <w:szCs w:val="28"/>
        </w:rPr>
        <w:t xml:space="preserve"> незаконно размещенных на территории города Новосибирска нестационарных объектов запланировано на 29.01.2016.</w:t>
      </w:r>
    </w:p>
    <w:p w:rsidR="004D6A4C" w:rsidRPr="004D6A4C" w:rsidRDefault="004D6A4C" w:rsidP="004D6A4C">
      <w:pPr>
        <w:ind w:firstLine="720"/>
        <w:jc w:val="both"/>
        <w:rPr>
          <w:sz w:val="28"/>
          <w:szCs w:val="28"/>
        </w:rPr>
      </w:pPr>
      <w:r w:rsidRPr="004D6A4C">
        <w:rPr>
          <w:sz w:val="28"/>
          <w:szCs w:val="28"/>
        </w:rPr>
        <w:t xml:space="preserve">Рабочей группой также изучался вопрос о возможности отнесения к мобильным объектам, размещаемым на основании паспорта мобильного объекта, торгового автомата, торговой палатки, бахчевого развала, елочного базара, летнего кафе, холодильной витрины, металлического гаража. </w:t>
      </w:r>
    </w:p>
    <w:p w:rsidR="004D6A4C" w:rsidRPr="004D6A4C" w:rsidRDefault="004D6A4C" w:rsidP="004D6A4C">
      <w:pPr>
        <w:ind w:right="-1" w:firstLine="720"/>
        <w:jc w:val="both"/>
        <w:outlineLvl w:val="0"/>
        <w:rPr>
          <w:rFonts w:eastAsia="Calibri"/>
          <w:szCs w:val="28"/>
        </w:rPr>
      </w:pPr>
      <w:r w:rsidRPr="004D6A4C">
        <w:rPr>
          <w:sz w:val="28"/>
          <w:szCs w:val="28"/>
        </w:rPr>
        <w:t xml:space="preserve">Согласно ответам правового департамента мэрии города Новосибирска от 23.11.2015 №23/2.2/01012, правового управления Совета депутатов города Новосибирска от 04.12.2015 № 04/3-12/03924 в соответствии с положениями ГОСТа </w:t>
      </w:r>
      <w:proofErr w:type="gramStart"/>
      <w:r w:rsidRPr="004D6A4C">
        <w:rPr>
          <w:sz w:val="28"/>
          <w:szCs w:val="28"/>
        </w:rPr>
        <w:t>Р</w:t>
      </w:r>
      <w:proofErr w:type="gramEnd"/>
      <w:r w:rsidRPr="004D6A4C">
        <w:rPr>
          <w:sz w:val="28"/>
          <w:szCs w:val="28"/>
        </w:rPr>
        <w:t xml:space="preserve"> </w:t>
      </w:r>
      <w:r w:rsidRPr="004D6A4C">
        <w:rPr>
          <w:rFonts w:eastAsia="Calibri"/>
          <w:sz w:val="28"/>
          <w:szCs w:val="28"/>
        </w:rPr>
        <w:t xml:space="preserve">51303-2013 «Национальный стандарт Российской Федерации. Торговля. Термины и определения», утвержденного приказом </w:t>
      </w:r>
      <w:proofErr w:type="spellStart"/>
      <w:r w:rsidRPr="004D6A4C">
        <w:rPr>
          <w:rFonts w:eastAsia="Calibri"/>
          <w:sz w:val="28"/>
          <w:szCs w:val="28"/>
        </w:rPr>
        <w:t>Росстандарта</w:t>
      </w:r>
      <w:proofErr w:type="spellEnd"/>
      <w:r w:rsidRPr="004D6A4C">
        <w:rPr>
          <w:rFonts w:eastAsia="Calibri"/>
          <w:sz w:val="28"/>
          <w:szCs w:val="28"/>
        </w:rPr>
        <w:t xml:space="preserve"> от 28.08.2013 № 582-ст (далее – ГОСТ), в </w:t>
      </w:r>
      <w:r w:rsidRPr="004D6A4C">
        <w:rPr>
          <w:sz w:val="28"/>
          <w:szCs w:val="28"/>
        </w:rPr>
        <w:t xml:space="preserve">Положении определен перечень мобильных объектов, к которым относятся </w:t>
      </w:r>
      <w:r w:rsidRPr="004D6A4C">
        <w:rPr>
          <w:szCs w:val="28"/>
        </w:rPr>
        <w:t xml:space="preserve"> </w:t>
      </w:r>
      <w:r w:rsidRPr="004D6A4C">
        <w:rPr>
          <w:sz w:val="28"/>
          <w:szCs w:val="28"/>
        </w:rPr>
        <w:t>торговая тележка, торговый автофургон, автолавка, автоцистерна</w:t>
      </w:r>
      <w:r w:rsidRPr="004D6A4C">
        <w:rPr>
          <w:szCs w:val="28"/>
        </w:rPr>
        <w:t>.</w:t>
      </w:r>
    </w:p>
    <w:p w:rsidR="004D6A4C" w:rsidRPr="004D6A4C" w:rsidRDefault="004D6A4C" w:rsidP="004D6A4C">
      <w:pPr>
        <w:ind w:right="-1" w:firstLine="720"/>
        <w:jc w:val="both"/>
        <w:outlineLvl w:val="0"/>
        <w:rPr>
          <w:sz w:val="28"/>
          <w:szCs w:val="28"/>
        </w:rPr>
      </w:pPr>
      <w:r w:rsidRPr="004D6A4C">
        <w:rPr>
          <w:sz w:val="28"/>
          <w:szCs w:val="28"/>
        </w:rPr>
        <w:t xml:space="preserve">Согласно ГОСТу указанные объекты представляют собой автотранспортное средство или транспортное средство (прицеп, полуприцеп), либо установленную на базе автотранспортного средства изотермическая емкость, либо оснащенную колесным механизмом конструкцию.  </w:t>
      </w:r>
    </w:p>
    <w:p w:rsidR="004D6A4C" w:rsidRPr="004D6A4C" w:rsidRDefault="004D6A4C" w:rsidP="004D6A4C">
      <w:pPr>
        <w:widowControl w:val="0"/>
        <w:autoSpaceDE w:val="0"/>
        <w:autoSpaceDN w:val="0"/>
        <w:ind w:firstLine="720"/>
        <w:jc w:val="both"/>
        <w:rPr>
          <w:rFonts w:eastAsia="Calibri"/>
          <w:sz w:val="28"/>
          <w:szCs w:val="28"/>
        </w:rPr>
      </w:pPr>
      <w:r w:rsidRPr="004D6A4C">
        <w:rPr>
          <w:rFonts w:eastAsia="Calibri"/>
          <w:sz w:val="28"/>
          <w:szCs w:val="28"/>
        </w:rPr>
        <w:t xml:space="preserve">Таким образом, расширение существующего перечня мобильных объектов предложенными выше нестационарными объектами не представляется возможным.   </w:t>
      </w:r>
    </w:p>
    <w:p w:rsidR="004D6A4C" w:rsidRPr="004D6A4C" w:rsidRDefault="004D6A4C" w:rsidP="004D6A4C">
      <w:pPr>
        <w:ind w:firstLine="720"/>
        <w:jc w:val="both"/>
        <w:rPr>
          <w:sz w:val="28"/>
          <w:szCs w:val="28"/>
        </w:rPr>
      </w:pPr>
      <w:r w:rsidRPr="004D6A4C">
        <w:rPr>
          <w:sz w:val="28"/>
          <w:szCs w:val="28"/>
        </w:rPr>
        <w:lastRenderedPageBreak/>
        <w:t xml:space="preserve">Предложение о внесении изменений в Положение в части регулирования размещения металлических гаражей путем выдачи паспорта мобильного объекта противоречит положениям Земельного кодекса Российской Федерации, Закона о торговой деятельности, в соответствии с которыми размещение металлических гаражей по иным, кроме аренды, основаниям не допускается. Поскольку металлический гараж, размещаемый в целях обеспечения беспрепятственного доступа инвалидов к объектам социальной инфраструктуры, не может быть признан нестационарным торговым объектом, отсутствуют правовые основания для выдачи паспорта мобильного объекта в отношении таких гаражей.  </w:t>
      </w:r>
    </w:p>
    <w:p w:rsidR="004D6A4C" w:rsidRPr="004D6A4C" w:rsidRDefault="004D6A4C" w:rsidP="004D6A4C">
      <w:pPr>
        <w:ind w:firstLine="720"/>
        <w:jc w:val="both"/>
        <w:rPr>
          <w:sz w:val="28"/>
          <w:szCs w:val="28"/>
        </w:rPr>
      </w:pPr>
      <w:r w:rsidRPr="004D6A4C">
        <w:rPr>
          <w:sz w:val="28"/>
          <w:szCs w:val="28"/>
        </w:rPr>
        <w:t>Кроме того, от членов рабочей группы и представителей предпринимательского сообщества поступили предложения о внесении изменений в Положение, в частности:</w:t>
      </w:r>
    </w:p>
    <w:p w:rsidR="004D6A4C" w:rsidRPr="004D6A4C" w:rsidRDefault="004D6A4C" w:rsidP="004D6A4C">
      <w:pPr>
        <w:ind w:firstLine="720"/>
        <w:jc w:val="both"/>
        <w:rPr>
          <w:sz w:val="28"/>
          <w:szCs w:val="28"/>
        </w:rPr>
      </w:pPr>
      <w:r w:rsidRPr="004D6A4C">
        <w:rPr>
          <w:sz w:val="28"/>
          <w:szCs w:val="28"/>
        </w:rPr>
        <w:t>о возможности исключения из перечня нестационарных объектов металлических гаражей;</w:t>
      </w:r>
    </w:p>
    <w:p w:rsidR="004D6A4C" w:rsidRPr="004D6A4C" w:rsidRDefault="004D6A4C" w:rsidP="004D6A4C">
      <w:pPr>
        <w:ind w:firstLine="720"/>
        <w:jc w:val="both"/>
        <w:rPr>
          <w:sz w:val="28"/>
          <w:szCs w:val="28"/>
        </w:rPr>
      </w:pPr>
      <w:r w:rsidRPr="004D6A4C">
        <w:rPr>
          <w:sz w:val="28"/>
          <w:szCs w:val="28"/>
        </w:rPr>
        <w:t>о возможности дополнения перечня нестационарных торговых объектов «киоском с холодильной витриной» и «торговым автоприцепом»;</w:t>
      </w:r>
    </w:p>
    <w:p w:rsidR="004D6A4C" w:rsidRPr="004D6A4C" w:rsidRDefault="004D6A4C" w:rsidP="004D6A4C">
      <w:pPr>
        <w:widowControl w:val="0"/>
        <w:autoSpaceDE w:val="0"/>
        <w:autoSpaceDN w:val="0"/>
        <w:ind w:firstLine="720"/>
        <w:jc w:val="both"/>
        <w:rPr>
          <w:sz w:val="28"/>
          <w:szCs w:val="28"/>
        </w:rPr>
      </w:pPr>
      <w:r w:rsidRPr="004D6A4C">
        <w:rPr>
          <w:sz w:val="28"/>
          <w:szCs w:val="28"/>
        </w:rPr>
        <w:t>об увеличении срока рассмотрения районной комиссией заявления о выдаче паспорта мобильного объекта с 5 дней до 14 календарных дней;</w:t>
      </w:r>
    </w:p>
    <w:p w:rsidR="004D6A4C" w:rsidRPr="004D6A4C" w:rsidRDefault="004D6A4C" w:rsidP="004D6A4C">
      <w:pPr>
        <w:widowControl w:val="0"/>
        <w:autoSpaceDE w:val="0"/>
        <w:autoSpaceDN w:val="0"/>
        <w:ind w:firstLine="709"/>
        <w:jc w:val="both"/>
        <w:rPr>
          <w:sz w:val="28"/>
          <w:szCs w:val="28"/>
        </w:rPr>
      </w:pPr>
      <w:proofErr w:type="gramStart"/>
      <w:r w:rsidRPr="004D6A4C">
        <w:rPr>
          <w:sz w:val="28"/>
          <w:szCs w:val="28"/>
        </w:rPr>
        <w:t>об увеличении срока направления департаментом заявлений о заключении договора на размещение нестационарного торгового объекта на рассмотрение в комиссию</w:t>
      </w:r>
      <w:proofErr w:type="gramEnd"/>
      <w:r w:rsidRPr="004D6A4C">
        <w:rPr>
          <w:sz w:val="28"/>
          <w:szCs w:val="28"/>
        </w:rPr>
        <w:t xml:space="preserve"> по вопросам заключения договоров на размещение и эксплуатацию нестационарных торговых объектов на территории города Новосибирска с 2 дней до 5 рабочих дней;</w:t>
      </w:r>
    </w:p>
    <w:p w:rsidR="004D6A4C" w:rsidRPr="004D6A4C" w:rsidRDefault="004D6A4C" w:rsidP="004D6A4C">
      <w:pPr>
        <w:ind w:firstLine="720"/>
        <w:jc w:val="both"/>
        <w:rPr>
          <w:sz w:val="28"/>
          <w:szCs w:val="28"/>
        </w:rPr>
      </w:pPr>
      <w:r w:rsidRPr="004D6A4C">
        <w:rPr>
          <w:sz w:val="28"/>
          <w:szCs w:val="28"/>
        </w:rPr>
        <w:t>о дополнении перечня документов, прилагаемых к заявлению на выдачу паспорта мобильного объекта, паспортом технического состояния транспортного средства;</w:t>
      </w:r>
    </w:p>
    <w:p w:rsidR="004D6A4C" w:rsidRPr="004D6A4C" w:rsidRDefault="004D6A4C" w:rsidP="004D6A4C">
      <w:pPr>
        <w:ind w:firstLine="720"/>
        <w:jc w:val="both"/>
        <w:rPr>
          <w:sz w:val="28"/>
          <w:szCs w:val="28"/>
        </w:rPr>
      </w:pPr>
      <w:r w:rsidRPr="004D6A4C">
        <w:rPr>
          <w:sz w:val="28"/>
          <w:szCs w:val="28"/>
        </w:rPr>
        <w:t xml:space="preserve">об указании в заявлении на заключении договора на размещение нестационарных торговых объектов идентификационного (порядкового) номера объекта из схемы размещения нестационарных торговых объектов на территории города Новосибирска.  </w:t>
      </w:r>
    </w:p>
    <w:p w:rsidR="004D6A4C" w:rsidRPr="004D6A4C" w:rsidRDefault="004D6A4C" w:rsidP="004D6A4C">
      <w:pPr>
        <w:ind w:firstLine="720"/>
        <w:jc w:val="both"/>
        <w:rPr>
          <w:sz w:val="28"/>
          <w:szCs w:val="28"/>
        </w:rPr>
      </w:pPr>
      <w:r w:rsidRPr="004D6A4C">
        <w:rPr>
          <w:sz w:val="28"/>
          <w:szCs w:val="28"/>
        </w:rPr>
        <w:t xml:space="preserve">Все поступившие предложения о внесении изменений в Положение рабочей группой направлены в департамент для выражения мнения и учета их при разработке соответствующего </w:t>
      </w:r>
      <w:proofErr w:type="gramStart"/>
      <w:r w:rsidRPr="004D6A4C">
        <w:rPr>
          <w:sz w:val="28"/>
          <w:szCs w:val="28"/>
        </w:rPr>
        <w:t>проекта решения Совета депутатов города Новосибирска</w:t>
      </w:r>
      <w:proofErr w:type="gramEnd"/>
      <w:r w:rsidRPr="004D6A4C">
        <w:rPr>
          <w:sz w:val="28"/>
          <w:szCs w:val="28"/>
        </w:rPr>
        <w:t xml:space="preserve"> о внесении изменений в Положение. </w:t>
      </w:r>
    </w:p>
    <w:p w:rsidR="004D6A4C" w:rsidRPr="004D6A4C" w:rsidRDefault="004D6A4C" w:rsidP="004D6A4C">
      <w:pPr>
        <w:ind w:firstLine="720"/>
        <w:jc w:val="both"/>
        <w:rPr>
          <w:sz w:val="28"/>
          <w:szCs w:val="28"/>
        </w:rPr>
      </w:pPr>
      <w:r w:rsidRPr="004D6A4C">
        <w:rPr>
          <w:sz w:val="28"/>
          <w:szCs w:val="28"/>
        </w:rPr>
        <w:t xml:space="preserve">На основании </w:t>
      </w:r>
      <w:proofErr w:type="gramStart"/>
      <w:r w:rsidRPr="004D6A4C">
        <w:rPr>
          <w:sz w:val="28"/>
          <w:szCs w:val="28"/>
        </w:rPr>
        <w:t>изложенного</w:t>
      </w:r>
      <w:proofErr w:type="gramEnd"/>
      <w:r w:rsidRPr="004D6A4C">
        <w:rPr>
          <w:sz w:val="28"/>
          <w:szCs w:val="28"/>
        </w:rPr>
        <w:t>, считаем, что задачи и цели, возложенные на рабочую группу, выполнены, следовательно, рабочая группа подлежит закрытию.</w:t>
      </w:r>
    </w:p>
    <w:p w:rsidR="004D6A4C" w:rsidRPr="004D6A4C" w:rsidRDefault="004D6A4C" w:rsidP="004D6A4C">
      <w:pPr>
        <w:autoSpaceDE w:val="0"/>
        <w:autoSpaceDN w:val="0"/>
        <w:adjustRightInd w:val="0"/>
        <w:rPr>
          <w:sz w:val="28"/>
          <w:szCs w:val="28"/>
        </w:rPr>
      </w:pPr>
    </w:p>
    <w:p w:rsidR="004D6A4C" w:rsidRPr="004D6A4C" w:rsidRDefault="004D6A4C" w:rsidP="004D6A4C">
      <w:pPr>
        <w:autoSpaceDE w:val="0"/>
        <w:autoSpaceDN w:val="0"/>
        <w:adjustRightInd w:val="0"/>
        <w:rPr>
          <w:i/>
          <w:iCs/>
          <w:sz w:val="28"/>
          <w:szCs w:val="28"/>
        </w:rPr>
      </w:pPr>
    </w:p>
    <w:p w:rsidR="004D6A4C" w:rsidRPr="004D6A4C" w:rsidRDefault="004D6A4C" w:rsidP="004D6A4C">
      <w:pPr>
        <w:autoSpaceDE w:val="0"/>
        <w:autoSpaceDN w:val="0"/>
        <w:adjustRightInd w:val="0"/>
        <w:rPr>
          <w:sz w:val="28"/>
          <w:szCs w:val="28"/>
        </w:rPr>
      </w:pPr>
      <w:r w:rsidRPr="004D6A4C">
        <w:rPr>
          <w:sz w:val="28"/>
          <w:szCs w:val="28"/>
        </w:rPr>
        <w:t xml:space="preserve">Руководитель рабочей группы - </w:t>
      </w:r>
    </w:p>
    <w:p w:rsidR="004D6A4C" w:rsidRPr="004D6A4C" w:rsidRDefault="004D6A4C" w:rsidP="004D6A4C">
      <w:pPr>
        <w:spacing w:line="276" w:lineRule="auto"/>
        <w:jc w:val="both"/>
        <w:rPr>
          <w:sz w:val="28"/>
          <w:szCs w:val="28"/>
        </w:rPr>
      </w:pPr>
      <w:r w:rsidRPr="004D6A4C">
        <w:rPr>
          <w:sz w:val="28"/>
          <w:szCs w:val="28"/>
        </w:rPr>
        <w:t>председатель постоянной комиссии</w:t>
      </w:r>
    </w:p>
    <w:p w:rsidR="004D6A4C" w:rsidRPr="004D6A4C" w:rsidRDefault="004D6A4C" w:rsidP="004D6A4C">
      <w:pPr>
        <w:spacing w:line="276" w:lineRule="auto"/>
        <w:jc w:val="both"/>
        <w:rPr>
          <w:sz w:val="28"/>
          <w:szCs w:val="28"/>
        </w:rPr>
      </w:pPr>
      <w:r w:rsidRPr="004D6A4C">
        <w:rPr>
          <w:sz w:val="28"/>
          <w:szCs w:val="28"/>
        </w:rPr>
        <w:t>Совета депутатов города Новосибирска</w:t>
      </w:r>
    </w:p>
    <w:p w:rsidR="004D6A4C" w:rsidRPr="004D6A4C" w:rsidRDefault="004D6A4C" w:rsidP="004D6A4C">
      <w:pPr>
        <w:spacing w:line="276" w:lineRule="auto"/>
        <w:jc w:val="both"/>
        <w:rPr>
          <w:sz w:val="28"/>
          <w:szCs w:val="28"/>
        </w:rPr>
      </w:pPr>
      <w:r w:rsidRPr="004D6A4C">
        <w:rPr>
          <w:sz w:val="28"/>
          <w:szCs w:val="28"/>
        </w:rPr>
        <w:t>по научно-производственному развитию</w:t>
      </w:r>
    </w:p>
    <w:p w:rsidR="004D6A4C" w:rsidRPr="004D6A4C" w:rsidRDefault="004D6A4C" w:rsidP="004D6A4C">
      <w:pPr>
        <w:spacing w:line="276" w:lineRule="auto"/>
        <w:jc w:val="both"/>
        <w:rPr>
          <w:sz w:val="28"/>
          <w:szCs w:val="28"/>
        </w:rPr>
      </w:pPr>
      <w:r w:rsidRPr="004D6A4C">
        <w:rPr>
          <w:sz w:val="28"/>
          <w:szCs w:val="28"/>
        </w:rPr>
        <w:t>и предпринимательству                                                                                 И. Д. Салов</w:t>
      </w:r>
    </w:p>
    <w:p w:rsidR="00EA02DC" w:rsidRDefault="00EA02DC"/>
    <w:sectPr w:rsidR="00EA02DC" w:rsidSect="00D3707D">
      <w:headerReference w:type="even" r:id="rId9"/>
      <w:headerReference w:type="default" r:id="rId10"/>
      <w:pgSz w:w="11906" w:h="16838"/>
      <w:pgMar w:top="360" w:right="567" w:bottom="360" w:left="1418" w:header="720" w:footer="720"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337" w:rsidRDefault="001E4337">
      <w:r>
        <w:separator/>
      </w:r>
    </w:p>
  </w:endnote>
  <w:endnote w:type="continuationSeparator" w:id="0">
    <w:p w:rsidR="001E4337" w:rsidRDefault="001E4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337" w:rsidRDefault="001E4337">
      <w:r>
        <w:separator/>
      </w:r>
    </w:p>
  </w:footnote>
  <w:footnote w:type="continuationSeparator" w:id="0">
    <w:p w:rsidR="001E4337" w:rsidRDefault="001E4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07D" w:rsidRDefault="008606AB">
    <w:pPr>
      <w:pStyle w:val="a3"/>
      <w:framePr w:wrap="around" w:vAnchor="text" w:hAnchor="margin" w:xAlign="center" w:y="1"/>
      <w:rPr>
        <w:rStyle w:val="a5"/>
      </w:rPr>
    </w:pPr>
    <w:r>
      <w:rPr>
        <w:rStyle w:val="a5"/>
      </w:rPr>
      <w:fldChar w:fldCharType="begin"/>
    </w:r>
    <w:r w:rsidR="00D3707D">
      <w:rPr>
        <w:rStyle w:val="a5"/>
      </w:rPr>
      <w:instrText xml:space="preserve">PAGE  </w:instrText>
    </w:r>
    <w:r>
      <w:rPr>
        <w:rStyle w:val="a5"/>
      </w:rPr>
      <w:fldChar w:fldCharType="separate"/>
    </w:r>
    <w:r w:rsidR="00D3707D">
      <w:rPr>
        <w:rStyle w:val="a5"/>
        <w:noProof/>
      </w:rPr>
      <w:t>2</w:t>
    </w:r>
    <w:r>
      <w:rPr>
        <w:rStyle w:val="a5"/>
      </w:rPr>
      <w:fldChar w:fldCharType="end"/>
    </w:r>
  </w:p>
  <w:p w:rsidR="00D3707D" w:rsidRDefault="00D3707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07D" w:rsidRDefault="00D3707D">
    <w:pPr>
      <w:pStyle w:val="a3"/>
      <w:framePr w:wrap="around" w:vAnchor="text" w:hAnchor="page" w:x="1441" w:y="11"/>
      <w:rPr>
        <w:rStyle w:val="a5"/>
      </w:rPr>
    </w:pPr>
  </w:p>
  <w:p w:rsidR="00D3707D" w:rsidRDefault="00D3707D" w:rsidP="00D3707D">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07D"/>
    <w:rsid w:val="0002186F"/>
    <w:rsid w:val="00034EAF"/>
    <w:rsid w:val="00036F83"/>
    <w:rsid w:val="00053D64"/>
    <w:rsid w:val="000668C5"/>
    <w:rsid w:val="0007231A"/>
    <w:rsid w:val="0007386E"/>
    <w:rsid w:val="000A7F17"/>
    <w:rsid w:val="000C3AE7"/>
    <w:rsid w:val="000C6767"/>
    <w:rsid w:val="000E01A5"/>
    <w:rsid w:val="000E34EA"/>
    <w:rsid w:val="00107D55"/>
    <w:rsid w:val="001117A9"/>
    <w:rsid w:val="0011392E"/>
    <w:rsid w:val="00123017"/>
    <w:rsid w:val="00125ABC"/>
    <w:rsid w:val="00135836"/>
    <w:rsid w:val="00143A0D"/>
    <w:rsid w:val="0014457E"/>
    <w:rsid w:val="00146881"/>
    <w:rsid w:val="001768A2"/>
    <w:rsid w:val="001C7F39"/>
    <w:rsid w:val="001E4337"/>
    <w:rsid w:val="001F0C14"/>
    <w:rsid w:val="00217EE2"/>
    <w:rsid w:val="00233666"/>
    <w:rsid w:val="00296E55"/>
    <w:rsid w:val="002A0C59"/>
    <w:rsid w:val="0033618D"/>
    <w:rsid w:val="00383E2E"/>
    <w:rsid w:val="003B59AF"/>
    <w:rsid w:val="003E16A3"/>
    <w:rsid w:val="0043492C"/>
    <w:rsid w:val="004444D3"/>
    <w:rsid w:val="004454BD"/>
    <w:rsid w:val="00485B93"/>
    <w:rsid w:val="004D6A4C"/>
    <w:rsid w:val="004D7613"/>
    <w:rsid w:val="00510AF8"/>
    <w:rsid w:val="00555F32"/>
    <w:rsid w:val="00564902"/>
    <w:rsid w:val="005724DF"/>
    <w:rsid w:val="00597572"/>
    <w:rsid w:val="005B56D5"/>
    <w:rsid w:val="005C5225"/>
    <w:rsid w:val="005D33AA"/>
    <w:rsid w:val="005E199F"/>
    <w:rsid w:val="005F2D30"/>
    <w:rsid w:val="005F6709"/>
    <w:rsid w:val="006102F7"/>
    <w:rsid w:val="00632FB5"/>
    <w:rsid w:val="00684D98"/>
    <w:rsid w:val="00694CC6"/>
    <w:rsid w:val="006A5F99"/>
    <w:rsid w:val="006B08E5"/>
    <w:rsid w:val="006D1E6D"/>
    <w:rsid w:val="006F489F"/>
    <w:rsid w:val="006F5C25"/>
    <w:rsid w:val="00704B9F"/>
    <w:rsid w:val="007202E3"/>
    <w:rsid w:val="00721322"/>
    <w:rsid w:val="007319B7"/>
    <w:rsid w:val="00734837"/>
    <w:rsid w:val="00745F04"/>
    <w:rsid w:val="00770045"/>
    <w:rsid w:val="007911A2"/>
    <w:rsid w:val="007D6332"/>
    <w:rsid w:val="007E6738"/>
    <w:rsid w:val="007F6944"/>
    <w:rsid w:val="00806BBB"/>
    <w:rsid w:val="008118EA"/>
    <w:rsid w:val="00821133"/>
    <w:rsid w:val="00834C34"/>
    <w:rsid w:val="0083643E"/>
    <w:rsid w:val="008365CD"/>
    <w:rsid w:val="00842717"/>
    <w:rsid w:val="00847724"/>
    <w:rsid w:val="008606AB"/>
    <w:rsid w:val="008668A4"/>
    <w:rsid w:val="008C7D9F"/>
    <w:rsid w:val="008D3FFC"/>
    <w:rsid w:val="00936994"/>
    <w:rsid w:val="00987497"/>
    <w:rsid w:val="0099442E"/>
    <w:rsid w:val="009B7575"/>
    <w:rsid w:val="009B79F8"/>
    <w:rsid w:val="009D563C"/>
    <w:rsid w:val="009F0BF1"/>
    <w:rsid w:val="00A179A7"/>
    <w:rsid w:val="00A663F7"/>
    <w:rsid w:val="00A66616"/>
    <w:rsid w:val="00A72D12"/>
    <w:rsid w:val="00A7485A"/>
    <w:rsid w:val="00A91CC8"/>
    <w:rsid w:val="00A9402B"/>
    <w:rsid w:val="00AA6A84"/>
    <w:rsid w:val="00B0553B"/>
    <w:rsid w:val="00B33D0A"/>
    <w:rsid w:val="00B41756"/>
    <w:rsid w:val="00B46A4A"/>
    <w:rsid w:val="00B46F77"/>
    <w:rsid w:val="00B51FE9"/>
    <w:rsid w:val="00B536F6"/>
    <w:rsid w:val="00B83BD7"/>
    <w:rsid w:val="00B9473F"/>
    <w:rsid w:val="00BD5873"/>
    <w:rsid w:val="00C05F92"/>
    <w:rsid w:val="00C0634C"/>
    <w:rsid w:val="00C277AC"/>
    <w:rsid w:val="00C4506A"/>
    <w:rsid w:val="00CD49FF"/>
    <w:rsid w:val="00D3707D"/>
    <w:rsid w:val="00D70F8D"/>
    <w:rsid w:val="00D958A4"/>
    <w:rsid w:val="00DB0A73"/>
    <w:rsid w:val="00DC20AF"/>
    <w:rsid w:val="00E02875"/>
    <w:rsid w:val="00E06D74"/>
    <w:rsid w:val="00E06E1B"/>
    <w:rsid w:val="00E16B49"/>
    <w:rsid w:val="00E2163D"/>
    <w:rsid w:val="00E43B51"/>
    <w:rsid w:val="00E55B1C"/>
    <w:rsid w:val="00E926CC"/>
    <w:rsid w:val="00EA02DC"/>
    <w:rsid w:val="00EA7F09"/>
    <w:rsid w:val="00EB0A96"/>
    <w:rsid w:val="00EE4F5A"/>
    <w:rsid w:val="00F31A99"/>
    <w:rsid w:val="00F44F68"/>
    <w:rsid w:val="00F55A36"/>
    <w:rsid w:val="00F573D7"/>
    <w:rsid w:val="00F77B97"/>
    <w:rsid w:val="00F80CA4"/>
    <w:rsid w:val="00F935B6"/>
    <w:rsid w:val="00FB1304"/>
    <w:rsid w:val="00FC3D88"/>
    <w:rsid w:val="00FF5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07D"/>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3707D"/>
    <w:pPr>
      <w:tabs>
        <w:tab w:val="center" w:pos="4153"/>
        <w:tab w:val="right" w:pos="8306"/>
      </w:tabs>
    </w:pPr>
  </w:style>
  <w:style w:type="character" w:customStyle="1" w:styleId="a4">
    <w:name w:val="Верхний колонтитул Знак"/>
    <w:basedOn w:val="a0"/>
    <w:link w:val="a3"/>
    <w:uiPriority w:val="99"/>
    <w:rsid w:val="00D3707D"/>
    <w:rPr>
      <w:rFonts w:ascii="Times New Roman" w:eastAsia="Times New Roman" w:hAnsi="Times New Roman" w:cs="Times New Roman"/>
      <w:sz w:val="20"/>
      <w:szCs w:val="20"/>
      <w:lang w:eastAsia="ru-RU"/>
    </w:rPr>
  </w:style>
  <w:style w:type="character" w:styleId="a5">
    <w:name w:val="page number"/>
    <w:basedOn w:val="a0"/>
    <w:rsid w:val="00D3707D"/>
  </w:style>
  <w:style w:type="paragraph" w:styleId="3">
    <w:name w:val="Body Text Indent 3"/>
    <w:basedOn w:val="a"/>
    <w:link w:val="30"/>
    <w:rsid w:val="00D3707D"/>
    <w:pPr>
      <w:ind w:firstLine="709"/>
    </w:pPr>
    <w:rPr>
      <w:sz w:val="28"/>
    </w:rPr>
  </w:style>
  <w:style w:type="character" w:customStyle="1" w:styleId="30">
    <w:name w:val="Основной текст с отступом 3 Знак"/>
    <w:basedOn w:val="a0"/>
    <w:link w:val="3"/>
    <w:rsid w:val="00D3707D"/>
    <w:rPr>
      <w:rFonts w:ascii="Times New Roman" w:eastAsia="Times New Roman" w:hAnsi="Times New Roman" w:cs="Times New Roman"/>
      <w:sz w:val="28"/>
      <w:szCs w:val="20"/>
      <w:lang w:eastAsia="ru-RU"/>
    </w:rPr>
  </w:style>
  <w:style w:type="paragraph" w:styleId="a6">
    <w:name w:val="Title"/>
    <w:basedOn w:val="a"/>
    <w:link w:val="a7"/>
    <w:qFormat/>
    <w:rsid w:val="00D3707D"/>
    <w:pPr>
      <w:jc w:val="center"/>
    </w:pPr>
    <w:rPr>
      <w:b/>
      <w:sz w:val="24"/>
    </w:rPr>
  </w:style>
  <w:style w:type="character" w:customStyle="1" w:styleId="a7">
    <w:name w:val="Название Знак"/>
    <w:basedOn w:val="a0"/>
    <w:link w:val="a6"/>
    <w:rsid w:val="00D3707D"/>
    <w:rPr>
      <w:rFonts w:ascii="Times New Roman" w:eastAsia="Times New Roman" w:hAnsi="Times New Roman" w:cs="Times New Roman"/>
      <w:b/>
      <w:sz w:val="24"/>
      <w:szCs w:val="20"/>
      <w:lang w:eastAsia="ru-RU"/>
    </w:rPr>
  </w:style>
  <w:style w:type="paragraph" w:styleId="a8">
    <w:name w:val="Body Text Indent"/>
    <w:basedOn w:val="a"/>
    <w:link w:val="a9"/>
    <w:rsid w:val="00D3707D"/>
    <w:pPr>
      <w:spacing w:after="120"/>
      <w:ind w:left="283"/>
    </w:pPr>
  </w:style>
  <w:style w:type="character" w:customStyle="1" w:styleId="a9">
    <w:name w:val="Основной текст с отступом Знак"/>
    <w:basedOn w:val="a0"/>
    <w:link w:val="a8"/>
    <w:rsid w:val="00D3707D"/>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734837"/>
    <w:rPr>
      <w:rFonts w:ascii="Tahoma" w:hAnsi="Tahoma" w:cs="Tahoma"/>
      <w:sz w:val="16"/>
      <w:szCs w:val="16"/>
    </w:rPr>
  </w:style>
  <w:style w:type="character" w:customStyle="1" w:styleId="ab">
    <w:name w:val="Текст выноски Знак"/>
    <w:basedOn w:val="a0"/>
    <w:link w:val="aa"/>
    <w:uiPriority w:val="99"/>
    <w:semiHidden/>
    <w:rsid w:val="00734837"/>
    <w:rPr>
      <w:rFonts w:ascii="Tahoma" w:eastAsia="Times New Roman" w:hAnsi="Tahoma" w:cs="Tahoma"/>
      <w:sz w:val="16"/>
      <w:szCs w:val="16"/>
    </w:rPr>
  </w:style>
  <w:style w:type="paragraph" w:styleId="ac">
    <w:name w:val="No Spacing"/>
    <w:uiPriority w:val="1"/>
    <w:qFormat/>
    <w:rsid w:val="000C3AE7"/>
    <w:rPr>
      <w:rFonts w:asciiTheme="minorHAnsi" w:eastAsiaTheme="minorEastAsia" w:hAnsiTheme="minorHAnsi" w:cstheme="minorBidi"/>
      <w:sz w:val="22"/>
      <w:szCs w:val="22"/>
    </w:rPr>
  </w:style>
  <w:style w:type="paragraph" w:customStyle="1" w:styleId="1">
    <w:name w:val="Обычный1"/>
    <w:rsid w:val="00F44F68"/>
    <w:rPr>
      <w:rFonts w:ascii="Times New Roman" w:eastAsia="Times New Roman" w:hAnsi="Times New Roman"/>
      <w:snapToGrid w:val="0"/>
    </w:rPr>
  </w:style>
  <w:style w:type="paragraph" w:customStyle="1" w:styleId="ConsPlusTitle">
    <w:name w:val="ConsPlusTitle"/>
    <w:rsid w:val="00F44F68"/>
    <w:pPr>
      <w:widowControl w:val="0"/>
      <w:autoSpaceDE w:val="0"/>
      <w:autoSpaceDN w:val="0"/>
      <w:adjustRightInd w:val="0"/>
    </w:pPr>
    <w:rPr>
      <w:rFonts w:eastAsia="Times New Roman" w:cs="Calibri"/>
      <w:b/>
      <w:bCs/>
      <w:sz w:val="22"/>
      <w:szCs w:val="22"/>
    </w:rPr>
  </w:style>
  <w:style w:type="paragraph" w:styleId="ad">
    <w:name w:val="Normal (Web)"/>
    <w:basedOn w:val="a"/>
    <w:uiPriority w:val="99"/>
    <w:unhideWhenUsed/>
    <w:rsid w:val="00383E2E"/>
    <w:pPr>
      <w:spacing w:before="100" w:beforeAutospacing="1" w:after="360"/>
    </w:pPr>
    <w:rPr>
      <w:sz w:val="24"/>
      <w:szCs w:val="24"/>
    </w:rPr>
  </w:style>
  <w:style w:type="paragraph" w:customStyle="1" w:styleId="ConsPlusNormal">
    <w:name w:val="ConsPlusNormal"/>
    <w:rsid w:val="0099442E"/>
    <w:pPr>
      <w:autoSpaceDE w:val="0"/>
      <w:autoSpaceDN w:val="0"/>
      <w:adjustRightInd w:val="0"/>
    </w:pPr>
    <w:rPr>
      <w:rFonts w:ascii="Arial" w:eastAsiaTheme="minorEastAsia" w:hAnsi="Arial" w:cs="Arial"/>
    </w:rPr>
  </w:style>
  <w:style w:type="paragraph" w:customStyle="1" w:styleId="consplustitle0">
    <w:name w:val="consplustitle"/>
    <w:basedOn w:val="a"/>
    <w:rsid w:val="0099442E"/>
    <w:pPr>
      <w:autoSpaceDE w:val="0"/>
      <w:autoSpaceDN w:val="0"/>
    </w:pPr>
    <w:rPr>
      <w:rFonts w:ascii="Arial" w:eastAsia="Arial Unicode MS"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07D"/>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3707D"/>
    <w:pPr>
      <w:tabs>
        <w:tab w:val="center" w:pos="4153"/>
        <w:tab w:val="right" w:pos="8306"/>
      </w:tabs>
    </w:pPr>
  </w:style>
  <w:style w:type="character" w:customStyle="1" w:styleId="a4">
    <w:name w:val="Верхний колонтитул Знак"/>
    <w:basedOn w:val="a0"/>
    <w:link w:val="a3"/>
    <w:uiPriority w:val="99"/>
    <w:rsid w:val="00D3707D"/>
    <w:rPr>
      <w:rFonts w:ascii="Times New Roman" w:eastAsia="Times New Roman" w:hAnsi="Times New Roman" w:cs="Times New Roman"/>
      <w:sz w:val="20"/>
      <w:szCs w:val="20"/>
      <w:lang w:eastAsia="ru-RU"/>
    </w:rPr>
  </w:style>
  <w:style w:type="character" w:styleId="a5">
    <w:name w:val="page number"/>
    <w:basedOn w:val="a0"/>
    <w:rsid w:val="00D3707D"/>
  </w:style>
  <w:style w:type="paragraph" w:styleId="3">
    <w:name w:val="Body Text Indent 3"/>
    <w:basedOn w:val="a"/>
    <w:link w:val="30"/>
    <w:rsid w:val="00D3707D"/>
    <w:pPr>
      <w:ind w:firstLine="709"/>
    </w:pPr>
    <w:rPr>
      <w:sz w:val="28"/>
    </w:rPr>
  </w:style>
  <w:style w:type="character" w:customStyle="1" w:styleId="30">
    <w:name w:val="Основной текст с отступом 3 Знак"/>
    <w:basedOn w:val="a0"/>
    <w:link w:val="3"/>
    <w:rsid w:val="00D3707D"/>
    <w:rPr>
      <w:rFonts w:ascii="Times New Roman" w:eastAsia="Times New Roman" w:hAnsi="Times New Roman" w:cs="Times New Roman"/>
      <w:sz w:val="28"/>
      <w:szCs w:val="20"/>
      <w:lang w:eastAsia="ru-RU"/>
    </w:rPr>
  </w:style>
  <w:style w:type="paragraph" w:styleId="a6">
    <w:name w:val="Title"/>
    <w:basedOn w:val="a"/>
    <w:link w:val="a7"/>
    <w:qFormat/>
    <w:rsid w:val="00D3707D"/>
    <w:pPr>
      <w:jc w:val="center"/>
    </w:pPr>
    <w:rPr>
      <w:b/>
      <w:sz w:val="24"/>
    </w:rPr>
  </w:style>
  <w:style w:type="character" w:customStyle="1" w:styleId="a7">
    <w:name w:val="Название Знак"/>
    <w:basedOn w:val="a0"/>
    <w:link w:val="a6"/>
    <w:rsid w:val="00D3707D"/>
    <w:rPr>
      <w:rFonts w:ascii="Times New Roman" w:eastAsia="Times New Roman" w:hAnsi="Times New Roman" w:cs="Times New Roman"/>
      <w:b/>
      <w:sz w:val="24"/>
      <w:szCs w:val="20"/>
      <w:lang w:eastAsia="ru-RU"/>
    </w:rPr>
  </w:style>
  <w:style w:type="paragraph" w:styleId="a8">
    <w:name w:val="Body Text Indent"/>
    <w:basedOn w:val="a"/>
    <w:link w:val="a9"/>
    <w:rsid w:val="00D3707D"/>
    <w:pPr>
      <w:spacing w:after="120"/>
      <w:ind w:left="283"/>
    </w:pPr>
  </w:style>
  <w:style w:type="character" w:customStyle="1" w:styleId="a9">
    <w:name w:val="Основной текст с отступом Знак"/>
    <w:basedOn w:val="a0"/>
    <w:link w:val="a8"/>
    <w:rsid w:val="00D3707D"/>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734837"/>
    <w:rPr>
      <w:rFonts w:ascii="Tahoma" w:hAnsi="Tahoma" w:cs="Tahoma"/>
      <w:sz w:val="16"/>
      <w:szCs w:val="16"/>
    </w:rPr>
  </w:style>
  <w:style w:type="character" w:customStyle="1" w:styleId="ab">
    <w:name w:val="Текст выноски Знак"/>
    <w:basedOn w:val="a0"/>
    <w:link w:val="aa"/>
    <w:uiPriority w:val="99"/>
    <w:semiHidden/>
    <w:rsid w:val="00734837"/>
    <w:rPr>
      <w:rFonts w:ascii="Tahoma" w:eastAsia="Times New Roman" w:hAnsi="Tahoma" w:cs="Tahoma"/>
      <w:sz w:val="16"/>
      <w:szCs w:val="16"/>
    </w:rPr>
  </w:style>
  <w:style w:type="paragraph" w:styleId="ac">
    <w:name w:val="No Spacing"/>
    <w:uiPriority w:val="1"/>
    <w:qFormat/>
    <w:rsid w:val="000C3AE7"/>
    <w:rPr>
      <w:rFonts w:asciiTheme="minorHAnsi" w:eastAsiaTheme="minorEastAsia" w:hAnsiTheme="minorHAnsi" w:cstheme="minorBidi"/>
      <w:sz w:val="22"/>
      <w:szCs w:val="22"/>
    </w:rPr>
  </w:style>
  <w:style w:type="paragraph" w:customStyle="1" w:styleId="1">
    <w:name w:val="Обычный1"/>
    <w:rsid w:val="00F44F68"/>
    <w:rPr>
      <w:rFonts w:ascii="Times New Roman" w:eastAsia="Times New Roman" w:hAnsi="Times New Roman"/>
      <w:snapToGrid w:val="0"/>
    </w:rPr>
  </w:style>
  <w:style w:type="paragraph" w:customStyle="1" w:styleId="ConsPlusTitle">
    <w:name w:val="ConsPlusTitle"/>
    <w:rsid w:val="00F44F68"/>
    <w:pPr>
      <w:widowControl w:val="0"/>
      <w:autoSpaceDE w:val="0"/>
      <w:autoSpaceDN w:val="0"/>
      <w:adjustRightInd w:val="0"/>
    </w:pPr>
    <w:rPr>
      <w:rFonts w:eastAsia="Times New Roman" w:cs="Calibri"/>
      <w:b/>
      <w:bCs/>
      <w:sz w:val="22"/>
      <w:szCs w:val="22"/>
    </w:rPr>
  </w:style>
  <w:style w:type="paragraph" w:styleId="ad">
    <w:name w:val="Normal (Web)"/>
    <w:basedOn w:val="a"/>
    <w:uiPriority w:val="99"/>
    <w:unhideWhenUsed/>
    <w:rsid w:val="00383E2E"/>
    <w:pPr>
      <w:spacing w:before="100" w:beforeAutospacing="1" w:after="360"/>
    </w:pPr>
    <w:rPr>
      <w:sz w:val="24"/>
      <w:szCs w:val="24"/>
    </w:rPr>
  </w:style>
  <w:style w:type="paragraph" w:customStyle="1" w:styleId="ConsPlusNormal">
    <w:name w:val="ConsPlusNormal"/>
    <w:rsid w:val="0099442E"/>
    <w:pPr>
      <w:autoSpaceDE w:val="0"/>
      <w:autoSpaceDN w:val="0"/>
      <w:adjustRightInd w:val="0"/>
    </w:pPr>
    <w:rPr>
      <w:rFonts w:ascii="Arial" w:eastAsiaTheme="minorEastAsia" w:hAnsi="Arial" w:cs="Arial"/>
    </w:rPr>
  </w:style>
  <w:style w:type="paragraph" w:customStyle="1" w:styleId="consplustitle0">
    <w:name w:val="consplustitle"/>
    <w:basedOn w:val="a"/>
    <w:rsid w:val="0099442E"/>
    <w:pPr>
      <w:autoSpaceDE w:val="0"/>
      <w:autoSpaceDN w:val="0"/>
    </w:pPr>
    <w:rPr>
      <w:rFonts w:ascii="Arial" w:eastAsia="Arial Unicode MS"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59043">
      <w:bodyDiv w:val="1"/>
      <w:marLeft w:val="0"/>
      <w:marRight w:val="0"/>
      <w:marTop w:val="0"/>
      <w:marBottom w:val="0"/>
      <w:divBdr>
        <w:top w:val="none" w:sz="0" w:space="0" w:color="auto"/>
        <w:left w:val="none" w:sz="0" w:space="0" w:color="auto"/>
        <w:bottom w:val="none" w:sz="0" w:space="0" w:color="auto"/>
        <w:right w:val="none" w:sz="0" w:space="0" w:color="auto"/>
      </w:divBdr>
    </w:div>
    <w:div w:id="216746269">
      <w:bodyDiv w:val="1"/>
      <w:marLeft w:val="0"/>
      <w:marRight w:val="0"/>
      <w:marTop w:val="0"/>
      <w:marBottom w:val="0"/>
      <w:divBdr>
        <w:top w:val="none" w:sz="0" w:space="0" w:color="auto"/>
        <w:left w:val="none" w:sz="0" w:space="0" w:color="auto"/>
        <w:bottom w:val="none" w:sz="0" w:space="0" w:color="auto"/>
        <w:right w:val="none" w:sz="0" w:space="0" w:color="auto"/>
      </w:divBdr>
    </w:div>
    <w:div w:id="671223472">
      <w:bodyDiv w:val="1"/>
      <w:marLeft w:val="0"/>
      <w:marRight w:val="0"/>
      <w:marTop w:val="0"/>
      <w:marBottom w:val="0"/>
      <w:divBdr>
        <w:top w:val="none" w:sz="0" w:space="0" w:color="auto"/>
        <w:left w:val="none" w:sz="0" w:space="0" w:color="auto"/>
        <w:bottom w:val="none" w:sz="0" w:space="0" w:color="auto"/>
        <w:right w:val="none" w:sz="0" w:space="0" w:color="auto"/>
      </w:divBdr>
    </w:div>
    <w:div w:id="166940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20A4A-11CE-4481-9946-BC0596FFB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1338</Words>
  <Characters>7632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Мэрия города Новосибирска</Company>
  <LinksUpToDate>false</LinksUpToDate>
  <CharactersWithSpaces>8953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APerova</dc:creator>
  <cp:lastModifiedBy>Лапекина Олеся Александровна</cp:lastModifiedBy>
  <cp:revision>9</cp:revision>
  <cp:lastPrinted>2016-01-25T09:51:00Z</cp:lastPrinted>
  <dcterms:created xsi:type="dcterms:W3CDTF">2016-01-19T05:00:00Z</dcterms:created>
  <dcterms:modified xsi:type="dcterms:W3CDTF">2016-02-03T06:59:00Z</dcterms:modified>
</cp:coreProperties>
</file>